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09B65">
      <w:pPr>
        <w:pStyle w:val="2"/>
        <w:keepNext w:val="0"/>
        <w:keepLines w:val="0"/>
        <w:pageBreakBefore w:val="0"/>
        <w:widowControl/>
        <w:kinsoku w:val="0"/>
        <w:wordWrap/>
        <w:overflowPunct/>
        <w:topLinePunct w:val="0"/>
        <w:autoSpaceDE w:val="0"/>
        <w:autoSpaceDN w:val="0"/>
        <w:bidi w:val="0"/>
        <w:adjustRightInd w:val="0"/>
        <w:snapToGrid w:val="0"/>
        <w:spacing w:before="118" w:line="312" w:lineRule="auto"/>
        <w:ind w:right="34"/>
        <w:jc w:val="center"/>
        <w:textAlignment w:val="baseline"/>
        <w:rPr>
          <w:rFonts w:hint="eastAsia" w:eastAsia="宋体"/>
          <w:b/>
          <w:bCs/>
          <w:sz w:val="22"/>
          <w:szCs w:val="22"/>
          <w:lang w:val="en-US" w:eastAsia="zh-CN"/>
        </w:rPr>
      </w:pPr>
      <w:r>
        <w:rPr>
          <w:rFonts w:hint="eastAsia" w:eastAsia="宋体"/>
          <w:b/>
          <w:bCs/>
          <w:sz w:val="22"/>
          <w:szCs w:val="22"/>
          <w:lang w:val="en-US" w:eastAsia="zh-CN"/>
        </w:rPr>
        <w:t>2024年六月第二套</w:t>
      </w:r>
    </w:p>
    <w:p w14:paraId="2F657C51">
      <w:pPr>
        <w:pStyle w:val="2"/>
        <w:keepNext w:val="0"/>
        <w:keepLines w:val="0"/>
        <w:pageBreakBefore w:val="0"/>
        <w:widowControl/>
        <w:kinsoku w:val="0"/>
        <w:wordWrap/>
        <w:overflowPunct/>
        <w:topLinePunct w:val="0"/>
        <w:autoSpaceDE w:val="0"/>
        <w:autoSpaceDN w:val="0"/>
        <w:bidi w:val="0"/>
        <w:adjustRightInd w:val="0"/>
        <w:snapToGrid w:val="0"/>
        <w:spacing w:before="118" w:line="312" w:lineRule="auto"/>
        <w:ind w:left="40" w:right="34" w:firstLine="416"/>
        <w:jc w:val="left"/>
        <w:textAlignment w:val="baseline"/>
        <w:rPr>
          <w:rFonts w:hint="default" w:eastAsia="宋体"/>
          <w:b/>
          <w:bCs/>
          <w:sz w:val="24"/>
          <w:szCs w:val="24"/>
          <w:lang w:val="en-US" w:eastAsia="zh-CN"/>
        </w:rPr>
      </w:pPr>
      <w:r>
        <w:rPr>
          <w:rFonts w:hint="eastAsia" w:eastAsia="宋体"/>
          <w:b/>
          <w:bCs/>
          <w:sz w:val="24"/>
          <w:szCs w:val="24"/>
          <w:lang w:val="en-US" w:eastAsia="zh-CN"/>
        </w:rPr>
        <w:t>Passage one</w:t>
      </w:r>
    </w:p>
    <w:p w14:paraId="16FC96EA">
      <w:pPr>
        <w:pStyle w:val="2"/>
        <w:keepNext w:val="0"/>
        <w:keepLines w:val="0"/>
        <w:pageBreakBefore w:val="0"/>
        <w:widowControl/>
        <w:kinsoku w:val="0"/>
        <w:wordWrap/>
        <w:overflowPunct/>
        <w:topLinePunct w:val="0"/>
        <w:autoSpaceDE w:val="0"/>
        <w:autoSpaceDN w:val="0"/>
        <w:bidi w:val="0"/>
        <w:adjustRightInd w:val="0"/>
        <w:snapToGrid w:val="0"/>
        <w:spacing w:before="118" w:line="312" w:lineRule="auto"/>
        <w:ind w:left="40" w:right="34" w:firstLine="414"/>
        <w:textAlignment w:val="baseline"/>
        <w:rPr>
          <w:sz w:val="24"/>
          <w:szCs w:val="24"/>
        </w:rPr>
      </w:pPr>
      <w:r>
        <w:rPr>
          <w:sz w:val="24"/>
          <w:szCs w:val="24"/>
        </w:rPr>
        <w:t>Variability is crucially important for learning new skills. Consider learning how to serve in tennis. Should you always practise serving from the exactly same location on the court aiming at the same spot? Although practising in more variable conditions will be slower at first, it will likely make you a better tennis player in the end. This is because variability leads to better generalisation of what is learned.</w:t>
      </w:r>
    </w:p>
    <w:p w14:paraId="1F91A89F">
      <w:pPr>
        <w:pStyle w:val="2"/>
        <w:keepNext w:val="0"/>
        <w:keepLines w:val="0"/>
        <w:pageBreakBefore w:val="0"/>
        <w:widowControl/>
        <w:kinsoku w:val="0"/>
        <w:wordWrap/>
        <w:overflowPunct/>
        <w:topLinePunct w:val="0"/>
        <w:autoSpaceDE w:val="0"/>
        <w:autoSpaceDN w:val="0"/>
        <w:bidi w:val="0"/>
        <w:adjustRightInd w:val="0"/>
        <w:snapToGrid w:val="0"/>
        <w:spacing w:before="118" w:line="312" w:lineRule="auto"/>
        <w:ind w:left="40" w:right="34" w:firstLine="414"/>
        <w:textAlignment w:val="baseline"/>
        <w:rPr>
          <w:sz w:val="24"/>
          <w:szCs w:val="24"/>
        </w:rPr>
      </w:pPr>
      <w:r>
        <w:rPr>
          <w:sz w:val="24"/>
          <w:szCs w:val="24"/>
        </w:rPr>
        <w:t>This principle is found in many domains, including speech perception and learning categories. For instance, infants</w:t>
      </w:r>
      <w:r>
        <w:rPr>
          <w:rFonts w:hint="eastAsia" w:eastAsia="宋体"/>
          <w:sz w:val="24"/>
          <w:szCs w:val="24"/>
          <w:lang w:val="en-US" w:eastAsia="zh-CN"/>
        </w:rPr>
        <w:t xml:space="preserve"> </w:t>
      </w:r>
      <w:r>
        <w:rPr>
          <w:sz w:val="24"/>
          <w:szCs w:val="24"/>
        </w:rPr>
        <w:t>will struggle to learn the category “dog” if they are only exposed to Chihuahuas, instead of many different kinds of dogs.</w:t>
      </w:r>
    </w:p>
    <w:p w14:paraId="3AD82DA6">
      <w:pPr>
        <w:pStyle w:val="2"/>
        <w:keepNext w:val="0"/>
        <w:keepLines w:val="0"/>
        <w:pageBreakBefore w:val="0"/>
        <w:widowControl/>
        <w:kinsoku w:val="0"/>
        <w:wordWrap/>
        <w:overflowPunct/>
        <w:topLinePunct w:val="0"/>
        <w:autoSpaceDE w:val="0"/>
        <w:autoSpaceDN w:val="0"/>
        <w:bidi w:val="0"/>
        <w:adjustRightInd w:val="0"/>
        <w:snapToGrid w:val="0"/>
        <w:spacing w:before="118" w:line="312" w:lineRule="auto"/>
        <w:ind w:left="40" w:right="34" w:firstLine="414"/>
        <w:textAlignment w:val="baseline"/>
        <w:rPr>
          <w:sz w:val="24"/>
          <w:szCs w:val="24"/>
        </w:rPr>
      </w:pPr>
      <w:r>
        <w:rPr>
          <w:sz w:val="24"/>
          <w:szCs w:val="24"/>
        </w:rPr>
        <w:t>“There are over ten different names for this basic principle,” says Limor Raviv, the senior investigator of a recent study. “Learning from less variable input is often fast, but may fail to generalise to new stimuli.”</w:t>
      </w:r>
    </w:p>
    <w:p w14:paraId="00A3C1E1">
      <w:pPr>
        <w:pStyle w:val="2"/>
        <w:keepNext w:val="0"/>
        <w:keepLines w:val="0"/>
        <w:pageBreakBefore w:val="0"/>
        <w:widowControl/>
        <w:kinsoku w:val="0"/>
        <w:wordWrap/>
        <w:overflowPunct/>
        <w:topLinePunct w:val="0"/>
        <w:autoSpaceDE w:val="0"/>
        <w:autoSpaceDN w:val="0"/>
        <w:bidi w:val="0"/>
        <w:adjustRightInd w:val="0"/>
        <w:snapToGrid w:val="0"/>
        <w:spacing w:before="118" w:line="312" w:lineRule="auto"/>
        <w:ind w:left="40" w:right="34" w:firstLine="414"/>
        <w:textAlignment w:val="baseline"/>
        <w:rPr>
          <w:sz w:val="24"/>
          <w:szCs w:val="24"/>
        </w:rPr>
      </w:pPr>
      <w:r>
        <w:rPr>
          <w:sz w:val="24"/>
          <w:szCs w:val="24"/>
        </w:rPr>
        <w:t>To identify key patterns and understand the underlying principles of variability effects, Raviv and her colleagues reviewed over 150 studies on variability and generalisation across fields</w:t>
      </w:r>
      <w:r>
        <w:rPr>
          <w:rFonts w:hint="eastAsia" w:eastAsia="宋体"/>
          <w:sz w:val="24"/>
          <w:szCs w:val="24"/>
          <w:lang w:eastAsia="zh-CN"/>
        </w:rPr>
        <w:t>，</w:t>
      </w:r>
      <w:r>
        <w:rPr>
          <w:sz w:val="24"/>
          <w:szCs w:val="24"/>
        </w:rPr>
        <w:t xml:space="preserve"> including computer science, linguistics,categorization, visual perception and formal education.</w:t>
      </w:r>
    </w:p>
    <w:p w14:paraId="34782B38">
      <w:pPr>
        <w:pStyle w:val="2"/>
        <w:keepNext w:val="0"/>
        <w:keepLines w:val="0"/>
        <w:pageBreakBefore w:val="0"/>
        <w:widowControl/>
        <w:kinsoku w:val="0"/>
        <w:wordWrap/>
        <w:overflowPunct/>
        <w:topLinePunct w:val="0"/>
        <w:autoSpaceDE w:val="0"/>
        <w:autoSpaceDN w:val="0"/>
        <w:bidi w:val="0"/>
        <w:adjustRightInd w:val="0"/>
        <w:snapToGrid w:val="0"/>
        <w:spacing w:before="118" w:line="312" w:lineRule="auto"/>
        <w:ind w:left="40" w:right="34" w:firstLine="414"/>
        <w:textAlignment w:val="baseline"/>
        <w:rPr>
          <w:sz w:val="24"/>
          <w:szCs w:val="24"/>
        </w:rPr>
      </w:pPr>
      <w:r>
        <w:rPr>
          <w:sz w:val="24"/>
          <w:szCs w:val="24"/>
        </w:rPr>
        <w:t>The researchers discovered that across studies, the term variability can refer to at least four different kinds of</w:t>
      </w:r>
      <w:r>
        <w:rPr>
          <w:rFonts w:hint="eastAsia" w:eastAsia="宋体"/>
          <w:sz w:val="24"/>
          <w:szCs w:val="24"/>
          <w:lang w:val="en-US" w:eastAsia="zh-CN"/>
        </w:rPr>
        <w:t xml:space="preserve"> </w:t>
      </w:r>
      <w:r>
        <w:rPr>
          <w:sz w:val="24"/>
          <w:szCs w:val="24"/>
        </w:rPr>
        <w:t>variability, such as set size and scheduling. “These four kinds of variability have never been directly compared — which means that we currently don’t know which is most effective for learning,” says Raviv.</w:t>
      </w:r>
    </w:p>
    <w:p w14:paraId="2A221849">
      <w:pPr>
        <w:pStyle w:val="2"/>
        <w:keepNext w:val="0"/>
        <w:keepLines w:val="0"/>
        <w:pageBreakBefore w:val="0"/>
        <w:widowControl/>
        <w:kinsoku w:val="0"/>
        <w:wordWrap/>
        <w:overflowPunct/>
        <w:topLinePunct w:val="0"/>
        <w:autoSpaceDE w:val="0"/>
        <w:autoSpaceDN w:val="0"/>
        <w:bidi w:val="0"/>
        <w:adjustRightInd w:val="0"/>
        <w:snapToGrid w:val="0"/>
        <w:spacing w:before="118" w:line="312" w:lineRule="auto"/>
        <w:ind w:left="40" w:right="34" w:firstLine="414"/>
        <w:textAlignment w:val="baseline"/>
        <w:rPr>
          <w:sz w:val="24"/>
          <w:szCs w:val="24"/>
        </w:rPr>
      </w:pPr>
      <w:r>
        <w:rPr>
          <w:sz w:val="24"/>
          <w:szCs w:val="24"/>
        </w:rPr>
        <w:t>The impact of variability depends on whether it is relevant to the task or not. But according to the ‘Mr. Miyagi principle ’</w:t>
      </w:r>
      <w:r>
        <w:rPr>
          <w:rFonts w:hint="eastAsia" w:eastAsia="宋体"/>
          <w:sz w:val="24"/>
          <w:szCs w:val="24"/>
          <w:lang w:eastAsia="zh-CN"/>
        </w:rPr>
        <w:t>，</w:t>
      </w:r>
      <w:r>
        <w:rPr>
          <w:sz w:val="24"/>
          <w:szCs w:val="24"/>
        </w:rPr>
        <w:t>practising seemingly unrelated skills may actually benefit learning of other skills.</w:t>
      </w:r>
    </w:p>
    <w:p w14:paraId="1AE5A421">
      <w:pPr>
        <w:pStyle w:val="2"/>
        <w:keepNext w:val="0"/>
        <w:keepLines w:val="0"/>
        <w:pageBreakBefore w:val="0"/>
        <w:widowControl/>
        <w:kinsoku w:val="0"/>
        <w:wordWrap/>
        <w:overflowPunct/>
        <w:topLinePunct w:val="0"/>
        <w:autoSpaceDE w:val="0"/>
        <w:autoSpaceDN w:val="0"/>
        <w:bidi w:val="0"/>
        <w:adjustRightInd w:val="0"/>
        <w:snapToGrid w:val="0"/>
        <w:spacing w:before="118" w:line="312" w:lineRule="auto"/>
        <w:ind w:left="40" w:right="34" w:firstLine="414"/>
        <w:textAlignment w:val="baseline"/>
        <w:rPr>
          <w:sz w:val="24"/>
          <w:szCs w:val="24"/>
        </w:rPr>
      </w:pPr>
      <w:r>
        <w:rPr>
          <w:sz w:val="24"/>
          <w:szCs w:val="24"/>
        </w:rPr>
        <w:t>But why does variability impact learning and generalization? One theory is that more variable input can highlight which aspects of</w:t>
      </w:r>
      <w:r>
        <w:rPr>
          <w:rFonts w:hint="eastAsia" w:eastAsia="宋体"/>
          <w:sz w:val="24"/>
          <w:szCs w:val="24"/>
          <w:lang w:val="en-US" w:eastAsia="zh-CN"/>
        </w:rPr>
        <w:t xml:space="preserve"> </w:t>
      </w:r>
      <w:r>
        <w:rPr>
          <w:sz w:val="24"/>
          <w:szCs w:val="24"/>
        </w:rPr>
        <w:t>a task are relevant and which are not.</w:t>
      </w:r>
    </w:p>
    <w:p w14:paraId="0FBD79F1">
      <w:pPr>
        <w:pStyle w:val="2"/>
        <w:keepNext w:val="0"/>
        <w:keepLines w:val="0"/>
        <w:pageBreakBefore w:val="0"/>
        <w:widowControl/>
        <w:kinsoku w:val="0"/>
        <w:wordWrap/>
        <w:overflowPunct/>
        <w:topLinePunct w:val="0"/>
        <w:autoSpaceDE w:val="0"/>
        <w:autoSpaceDN w:val="0"/>
        <w:bidi w:val="0"/>
        <w:adjustRightInd w:val="0"/>
        <w:snapToGrid w:val="0"/>
        <w:spacing w:before="118" w:line="312" w:lineRule="auto"/>
        <w:ind w:left="40" w:right="34" w:firstLine="414"/>
        <w:textAlignment w:val="baseline"/>
        <w:rPr>
          <w:sz w:val="24"/>
          <w:szCs w:val="24"/>
        </w:rPr>
      </w:pPr>
      <w:r>
        <w:rPr>
          <w:sz w:val="24"/>
          <w:szCs w:val="24"/>
        </w:rPr>
        <w:t>Another theory is that greater variability leads to broader generalisations. This is because variability will represent the real world better</w:t>
      </w:r>
      <w:r>
        <w:rPr>
          <w:rFonts w:hint="eastAsia" w:eastAsia="宋体"/>
          <w:sz w:val="24"/>
          <w:szCs w:val="24"/>
          <w:lang w:eastAsia="zh-CN"/>
        </w:rPr>
        <w:t>，</w:t>
      </w:r>
      <w:r>
        <w:rPr>
          <w:sz w:val="24"/>
          <w:szCs w:val="24"/>
        </w:rPr>
        <w:t xml:space="preserve"> including atypical (非典型的) examples.</w:t>
      </w:r>
    </w:p>
    <w:p w14:paraId="2A9DB073">
      <w:pPr>
        <w:pStyle w:val="2"/>
        <w:keepNext w:val="0"/>
        <w:keepLines w:val="0"/>
        <w:pageBreakBefore w:val="0"/>
        <w:widowControl/>
        <w:kinsoku w:val="0"/>
        <w:wordWrap/>
        <w:overflowPunct/>
        <w:topLinePunct w:val="0"/>
        <w:autoSpaceDE w:val="0"/>
        <w:autoSpaceDN w:val="0"/>
        <w:bidi w:val="0"/>
        <w:adjustRightInd w:val="0"/>
        <w:snapToGrid w:val="0"/>
        <w:spacing w:before="118" w:line="312" w:lineRule="auto"/>
        <w:ind w:left="40" w:right="34" w:firstLine="414"/>
        <w:textAlignment w:val="baseline"/>
        <w:rPr>
          <w:sz w:val="24"/>
          <w:szCs w:val="24"/>
        </w:rPr>
      </w:pPr>
      <w:r>
        <w:rPr>
          <w:sz w:val="24"/>
          <w:szCs w:val="24"/>
        </w:rPr>
        <w:t>A third reason has to do with the way memory works: when training is variable, learners are forced to actively reconstruct their memories.</w:t>
      </w:r>
    </w:p>
    <w:p w14:paraId="50C190F1">
      <w:pPr>
        <w:pStyle w:val="2"/>
        <w:keepNext w:val="0"/>
        <w:keepLines w:val="0"/>
        <w:pageBreakBefore w:val="0"/>
        <w:widowControl/>
        <w:kinsoku w:val="0"/>
        <w:wordWrap/>
        <w:overflowPunct/>
        <w:topLinePunct w:val="0"/>
        <w:autoSpaceDE w:val="0"/>
        <w:autoSpaceDN w:val="0"/>
        <w:bidi w:val="0"/>
        <w:adjustRightInd w:val="0"/>
        <w:snapToGrid w:val="0"/>
        <w:spacing w:before="118" w:line="312" w:lineRule="auto"/>
        <w:ind w:left="40" w:right="34" w:firstLine="414"/>
        <w:textAlignment w:val="baseline"/>
        <w:rPr>
          <w:sz w:val="24"/>
          <w:szCs w:val="24"/>
        </w:rPr>
      </w:pPr>
      <w:r>
        <w:rPr>
          <w:sz w:val="24"/>
          <w:szCs w:val="24"/>
        </w:rPr>
        <w:t>“Understanding the impact of variability is important for literally every aspect of our daily life. Beyond affecting the way we learn language, motor skills, and categories, it even has an impact on our social lives,” explains Raviv. “For</w:t>
      </w:r>
      <w:r>
        <w:rPr>
          <w:rFonts w:hint="eastAsia" w:eastAsia="宋体"/>
          <w:sz w:val="24"/>
          <w:szCs w:val="24"/>
          <w:lang w:val="en-US" w:eastAsia="zh-CN"/>
        </w:rPr>
        <w:t xml:space="preserve"> </w:t>
      </w:r>
      <w:r>
        <w:rPr>
          <w:sz w:val="24"/>
          <w:szCs w:val="24"/>
        </w:rPr>
        <w:t>example, face recognition is affected by whether people grew up in a Small community or in a larger community. Exposure to fewer faces during childhood is associated with diminished face memory.”</w:t>
      </w:r>
    </w:p>
    <w:p w14:paraId="56ABD979">
      <w:pPr>
        <w:pStyle w:val="2"/>
        <w:keepNext w:val="0"/>
        <w:keepLines w:val="0"/>
        <w:pageBreakBefore w:val="0"/>
        <w:widowControl/>
        <w:kinsoku w:val="0"/>
        <w:wordWrap/>
        <w:overflowPunct/>
        <w:topLinePunct w:val="0"/>
        <w:autoSpaceDE w:val="0"/>
        <w:autoSpaceDN w:val="0"/>
        <w:bidi w:val="0"/>
        <w:adjustRightInd w:val="0"/>
        <w:snapToGrid w:val="0"/>
        <w:spacing w:before="118" w:line="312" w:lineRule="auto"/>
        <w:ind w:left="40" w:right="34" w:firstLine="414"/>
        <w:textAlignment w:val="baseline"/>
        <w:rPr>
          <w:sz w:val="21"/>
          <w:szCs w:val="21"/>
        </w:rPr>
      </w:pPr>
      <w:r>
        <w:rPr>
          <w:sz w:val="24"/>
          <w:szCs w:val="24"/>
        </w:rPr>
        <w:t>“We hope this work will spark people</w:t>
      </w:r>
      <w:r>
        <w:rPr>
          <w:rFonts w:hint="eastAsia" w:eastAsia="宋体"/>
          <w:sz w:val="24"/>
          <w:szCs w:val="24"/>
          <w:lang w:eastAsia="zh-CN"/>
        </w:rPr>
        <w:t>’</w:t>
      </w:r>
      <w:r>
        <w:rPr>
          <w:sz w:val="24"/>
          <w:szCs w:val="24"/>
        </w:rPr>
        <w:t>s curiosity and generate more work on the topic</w:t>
      </w:r>
      <w:r>
        <w:rPr>
          <w:rFonts w:hint="eastAsia" w:eastAsia="宋体"/>
          <w:sz w:val="24"/>
          <w:szCs w:val="24"/>
          <w:lang w:val="en-US" w:eastAsia="zh-CN"/>
        </w:rPr>
        <w:t>,</w:t>
      </w:r>
      <w:r>
        <w:rPr>
          <w:sz w:val="24"/>
          <w:szCs w:val="24"/>
        </w:rPr>
        <w:t>” concludes Raviv. “Our paper raises a lot of open questions. Can we find similar effects of variability beyond the brain, for instance, in the immune</w:t>
      </w:r>
      <w:r>
        <w:rPr>
          <w:rFonts w:hint="eastAsia" w:eastAsia="宋体"/>
          <w:sz w:val="24"/>
          <w:szCs w:val="24"/>
          <w:lang w:val="en-US" w:eastAsia="zh-CN"/>
        </w:rPr>
        <w:t xml:space="preserve"> </w:t>
      </w:r>
      <w:r>
        <w:rPr>
          <w:sz w:val="24"/>
          <w:szCs w:val="24"/>
        </w:rPr>
        <w:t>system?”</w:t>
      </w:r>
      <w:bookmarkStart w:id="0" w:name="_GoBack"/>
      <w:bookmarkEnd w:id="0"/>
    </w:p>
    <w:p w14:paraId="6ACDE839">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jc w:val="center"/>
        <w:textAlignment w:val="baseline"/>
        <w:rPr>
          <w:rFonts w:hint="eastAsia" w:eastAsia="宋体"/>
          <w:b/>
          <w:bCs/>
          <w:sz w:val="22"/>
          <w:szCs w:val="22"/>
          <w:lang w:val="en-US" w:eastAsia="zh-CN"/>
        </w:rPr>
      </w:pPr>
    </w:p>
    <w:p w14:paraId="190DA931">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jc w:val="center"/>
        <w:textAlignment w:val="baseline"/>
        <w:rPr>
          <w:rFonts w:hint="eastAsia" w:eastAsia="宋体"/>
          <w:b/>
          <w:bCs/>
          <w:sz w:val="22"/>
          <w:szCs w:val="22"/>
          <w:lang w:val="en-US" w:eastAsia="zh-CN"/>
        </w:rPr>
      </w:pPr>
      <w:r>
        <w:rPr>
          <w:rFonts w:hint="eastAsia" w:eastAsia="宋体"/>
          <w:b/>
          <w:bCs/>
          <w:sz w:val="22"/>
          <w:szCs w:val="22"/>
          <w:lang w:val="en-US" w:eastAsia="zh-CN"/>
        </w:rPr>
        <w:t>2024年六月第二套</w:t>
      </w:r>
    </w:p>
    <w:p w14:paraId="0BF262CD">
      <w:pPr>
        <w:pStyle w:val="2"/>
        <w:keepNext w:val="0"/>
        <w:keepLines w:val="0"/>
        <w:pageBreakBefore w:val="0"/>
        <w:widowControl/>
        <w:kinsoku w:val="0"/>
        <w:wordWrap/>
        <w:overflowPunct/>
        <w:topLinePunct w:val="0"/>
        <w:autoSpaceDE w:val="0"/>
        <w:autoSpaceDN w:val="0"/>
        <w:bidi w:val="0"/>
        <w:adjustRightInd w:val="0"/>
        <w:snapToGrid w:val="0"/>
        <w:spacing w:before="118" w:line="360" w:lineRule="auto"/>
        <w:ind w:left="40" w:right="34" w:firstLine="416"/>
        <w:jc w:val="left"/>
        <w:textAlignment w:val="baseline"/>
        <w:rPr>
          <w:sz w:val="24"/>
          <w:szCs w:val="24"/>
        </w:rPr>
      </w:pPr>
      <w:r>
        <w:rPr>
          <w:rFonts w:hint="eastAsia" w:eastAsia="宋体"/>
          <w:b/>
          <w:bCs/>
          <w:sz w:val="24"/>
          <w:szCs w:val="24"/>
          <w:lang w:val="en-US" w:eastAsia="zh-CN"/>
        </w:rPr>
        <w:t>Passage one</w:t>
      </w:r>
    </w:p>
    <w:p w14:paraId="25EB77ED">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5" w:right="86" w:firstLine="480" w:firstLineChars="200"/>
        <w:jc w:val="both"/>
        <w:textAlignment w:val="baseline"/>
        <w:rPr>
          <w:rFonts w:hint="eastAsia" w:ascii="黑体" w:hAnsi="黑体"/>
          <w:sz w:val="24"/>
          <w:szCs w:val="24"/>
          <w:u w:val="none" w:color="auto"/>
          <w:lang w:val="en-US" w:eastAsia="zh-CN"/>
        </w:rPr>
      </w:pPr>
      <w:r>
        <w:rPr>
          <w:rFonts w:hint="eastAsia" w:ascii="黑体" w:hAnsi="黑体"/>
          <w:sz w:val="24"/>
          <w:szCs w:val="24"/>
          <w:u w:val="none" w:color="auto"/>
          <w:lang w:val="en-US" w:eastAsia="zh-CN"/>
        </w:rPr>
        <w:t>可变性对于学习新技能至关重要。细想一下学习网球中的发球。你是否应该总是从球场上完全相同的位置练习发球，瞄准同一个点?尽管在更多的可变条件下练习一开始会更慢些，但最终可能让你成为一名更好的网球运动员。这是因为可变性有助于更好地泛化所学的内容。</w:t>
      </w:r>
    </w:p>
    <w:p w14:paraId="6D296828">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5" w:right="86" w:firstLine="480" w:firstLineChars="200"/>
        <w:jc w:val="left"/>
        <w:textAlignment w:val="baseline"/>
        <w:rPr>
          <w:rFonts w:hint="eastAsia" w:ascii="黑体" w:hAnsi="黑体"/>
          <w:sz w:val="24"/>
          <w:szCs w:val="24"/>
          <w:u w:val="none" w:color="auto"/>
          <w:lang w:val="en-US" w:eastAsia="zh-CN"/>
        </w:rPr>
      </w:pPr>
      <w:r>
        <w:rPr>
          <w:rFonts w:hint="eastAsia" w:ascii="黑体" w:hAnsi="黑体"/>
          <w:sz w:val="24"/>
          <w:szCs w:val="24"/>
          <w:u w:val="none" w:color="auto"/>
          <w:lang w:val="en-US" w:eastAsia="zh-CN"/>
        </w:rPr>
        <w:t>人们在许多领域都发现了这一原理，包括语音感知和类别学习。例如，如果只让婴儿接触吉娃娃，而不是许多不同种类的狗，他们将很难学会“狗”这一类别。</w:t>
      </w:r>
    </w:p>
    <w:p w14:paraId="3C3A840D">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5" w:right="86" w:firstLine="480" w:firstLineChars="200"/>
        <w:jc w:val="left"/>
        <w:textAlignment w:val="baseline"/>
        <w:rPr>
          <w:rFonts w:hint="eastAsia" w:ascii="黑体" w:hAnsi="黑体"/>
          <w:sz w:val="24"/>
          <w:szCs w:val="24"/>
          <w:u w:val="none" w:color="auto"/>
          <w:lang w:val="en-US" w:eastAsia="zh-CN"/>
        </w:rPr>
      </w:pPr>
      <w:r>
        <w:rPr>
          <w:rFonts w:hint="eastAsia" w:ascii="黑体" w:hAnsi="黑体"/>
          <w:sz w:val="24"/>
          <w:szCs w:val="24"/>
          <w:u w:val="none" w:color="auto"/>
          <w:lang w:val="en-US" w:eastAsia="zh-CN"/>
        </w:rPr>
        <w:t>“这个基本原理有十多个不同的名字，”利莫·雷维夫说，她是最近一项研究的高级研究员。“从可变性较小的输入中学习通常很快，但可能无法泛化到新的刺激中。”</w:t>
      </w:r>
    </w:p>
    <w:p w14:paraId="1E3FB994">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5" w:right="86" w:firstLine="480" w:firstLineChars="200"/>
        <w:jc w:val="both"/>
        <w:textAlignment w:val="baseline"/>
        <w:rPr>
          <w:rFonts w:hint="eastAsia" w:ascii="黑体" w:hAnsi="黑体"/>
          <w:sz w:val="24"/>
          <w:szCs w:val="24"/>
          <w:u w:val="none" w:color="auto"/>
          <w:lang w:val="en-US" w:eastAsia="zh-CN"/>
        </w:rPr>
      </w:pPr>
      <w:r>
        <w:rPr>
          <w:rFonts w:hint="eastAsia" w:ascii="黑体" w:hAnsi="黑体"/>
          <w:sz w:val="24"/>
          <w:szCs w:val="24"/>
          <w:u w:val="none" w:color="auto"/>
          <w:lang w:val="en-US" w:eastAsia="zh-CN"/>
        </w:rPr>
        <w:t>为了识别那些关键的模式并理解可变性效应的根本原理，雷维夫和她的同事回顾了各领域的150多项关于可变性和泛化的研究，包括计算机科学、语言学、分类学、视觉感知和正规教育。</w:t>
      </w:r>
    </w:p>
    <w:p w14:paraId="000A6004">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5" w:right="86" w:firstLine="480" w:firstLineChars="200"/>
        <w:jc w:val="both"/>
        <w:textAlignment w:val="baseline"/>
        <w:rPr>
          <w:rFonts w:hint="eastAsia" w:ascii="黑体" w:hAnsi="黑体"/>
          <w:sz w:val="24"/>
          <w:szCs w:val="24"/>
          <w:u w:val="none" w:color="auto"/>
          <w:lang w:val="en-US" w:eastAsia="zh-CN"/>
        </w:rPr>
      </w:pPr>
      <w:r>
        <w:rPr>
          <w:rFonts w:hint="eastAsia" w:ascii="黑体" w:hAnsi="黑体"/>
          <w:sz w:val="24"/>
          <w:szCs w:val="24"/>
          <w:u w:val="none" w:color="auto"/>
          <w:lang w:val="en-US" w:eastAsia="zh-CN"/>
        </w:rPr>
        <w:t>这些研究人员发现，在不同的研究中，“可变性”一词可以指至少四种不同类型的可变性，如集合大小和时间安排。雷维夫说：“这四种可变性从未被直接比较过——这意味着我们目前不知道哪一种对学习最有效。”</w:t>
      </w:r>
    </w:p>
    <w:p w14:paraId="268DC965">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5" w:right="86" w:firstLine="480" w:firstLineChars="200"/>
        <w:jc w:val="both"/>
        <w:textAlignment w:val="baseline"/>
        <w:rPr>
          <w:rFonts w:hint="eastAsia" w:ascii="黑体" w:hAnsi="黑体"/>
          <w:sz w:val="24"/>
          <w:szCs w:val="24"/>
          <w:u w:val="none" w:color="auto"/>
          <w:lang w:val="en-US" w:eastAsia="zh-CN"/>
        </w:rPr>
      </w:pPr>
      <w:r>
        <w:rPr>
          <w:rFonts w:hint="eastAsia" w:ascii="黑体" w:hAnsi="黑体"/>
          <w:sz w:val="24"/>
          <w:szCs w:val="24"/>
          <w:u w:val="none" w:color="auto"/>
          <w:lang w:val="en-US" w:eastAsia="zh-CN"/>
        </w:rPr>
        <w:t>可变性的影响取决于它是否与任务相关。但根据“Mr.Miyagi原则”,练习看似无关的技能实际上可能有利于学习其他技能。</w:t>
      </w:r>
    </w:p>
    <w:p w14:paraId="7CA45B3B">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5" w:right="86" w:firstLine="480" w:firstLineChars="200"/>
        <w:jc w:val="both"/>
        <w:textAlignment w:val="baseline"/>
        <w:rPr>
          <w:rFonts w:hint="eastAsia" w:ascii="黑体" w:hAnsi="黑体"/>
          <w:sz w:val="24"/>
          <w:szCs w:val="24"/>
          <w:u w:val="none" w:color="auto"/>
          <w:lang w:val="en-US" w:eastAsia="zh-CN"/>
        </w:rPr>
      </w:pPr>
      <w:r>
        <w:rPr>
          <w:rFonts w:hint="eastAsia" w:ascii="黑体" w:hAnsi="黑体"/>
          <w:sz w:val="24"/>
          <w:szCs w:val="24"/>
          <w:u w:val="none" w:color="auto"/>
          <w:lang w:val="en-US" w:eastAsia="zh-CN"/>
        </w:rPr>
        <w:t>但为什么可变性会影响学习和泛化?一种理论认为，更多的可变输人可以突出任务的哪些方面是相关的，哪些不是。</w:t>
      </w:r>
    </w:p>
    <w:p w14:paraId="36755229">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5" w:right="86" w:firstLine="480" w:firstLineChars="200"/>
        <w:jc w:val="both"/>
        <w:textAlignment w:val="baseline"/>
        <w:rPr>
          <w:rFonts w:hint="eastAsia" w:ascii="黑体" w:hAnsi="黑体"/>
          <w:sz w:val="24"/>
          <w:szCs w:val="24"/>
          <w:u w:val="none" w:color="auto"/>
          <w:lang w:val="en-US" w:eastAsia="zh-CN"/>
        </w:rPr>
      </w:pPr>
      <w:r>
        <w:rPr>
          <w:rFonts w:hint="eastAsia" w:ascii="黑体" w:hAnsi="黑体"/>
          <w:sz w:val="24"/>
          <w:szCs w:val="24"/>
          <w:u w:val="none" w:color="auto"/>
          <w:lang w:val="en-US" w:eastAsia="zh-CN"/>
        </w:rPr>
        <w:t>另一种理论是，更大的可变性会导致更广泛的泛化。这是因为可变性将更好地代表现实世界，包括非典型的例子。</w:t>
      </w:r>
    </w:p>
    <w:p w14:paraId="0E6F9644">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5" w:right="86" w:firstLine="480" w:firstLineChars="200"/>
        <w:jc w:val="both"/>
        <w:textAlignment w:val="baseline"/>
        <w:rPr>
          <w:rFonts w:hint="eastAsia" w:ascii="黑体" w:hAnsi="黑体"/>
          <w:sz w:val="24"/>
          <w:szCs w:val="24"/>
          <w:u w:val="none" w:color="auto"/>
          <w:lang w:val="en-US" w:eastAsia="zh-CN"/>
        </w:rPr>
      </w:pPr>
      <w:r>
        <w:rPr>
          <w:rFonts w:hint="eastAsia" w:ascii="黑体" w:hAnsi="黑体"/>
          <w:sz w:val="24"/>
          <w:szCs w:val="24"/>
          <w:u w:val="none" w:color="auto"/>
          <w:lang w:val="en-US" w:eastAsia="zh-CN"/>
        </w:rPr>
        <w:t>第三个原因与记忆的工作方式有关：当训练可变时，学习者被迫主动重建他们的记忆。</w:t>
      </w:r>
    </w:p>
    <w:p w14:paraId="6923D327">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5" w:right="86" w:firstLine="480" w:firstLineChars="200"/>
        <w:jc w:val="both"/>
        <w:textAlignment w:val="baseline"/>
        <w:rPr>
          <w:rFonts w:hint="eastAsia" w:ascii="黑体" w:hAnsi="黑体"/>
          <w:sz w:val="24"/>
          <w:szCs w:val="24"/>
          <w:u w:val="none" w:color="auto"/>
          <w:lang w:val="en-US" w:eastAsia="zh-CN"/>
        </w:rPr>
      </w:pPr>
      <w:r>
        <w:rPr>
          <w:rFonts w:hint="eastAsia" w:ascii="黑体" w:hAnsi="黑体"/>
          <w:sz w:val="24"/>
          <w:szCs w:val="24"/>
          <w:u w:val="none" w:color="auto"/>
          <w:lang w:val="en-US" w:eastAsia="zh-CN"/>
        </w:rPr>
        <w:t>雷维夫解释道：“理解可变性的影响对我们日常生活的每一个方面都很重要。它除了影响我们学习语言、运动技能和类别的方式，甚至对我们的社交生活也会有影响。例如，人脸识别受到人们是在小社区还是在较大社区长大的影响。童年时期接触到的面孔较少，和人脸记忆的减弱有关。”</w:t>
      </w:r>
    </w:p>
    <w:p w14:paraId="16902FDF">
      <w:pPr>
        <w:pStyle w:val="6"/>
        <w:keepNext w:val="0"/>
        <w:keepLines w:val="0"/>
        <w:pageBreakBefore w:val="0"/>
        <w:widowControl/>
        <w:kinsoku w:val="0"/>
        <w:wordWrap/>
        <w:overflowPunct/>
        <w:topLinePunct w:val="0"/>
        <w:autoSpaceDE w:val="0"/>
        <w:autoSpaceDN w:val="0"/>
        <w:bidi w:val="0"/>
        <w:adjustRightInd w:val="0"/>
        <w:snapToGrid w:val="0"/>
        <w:spacing w:before="209" w:line="336" w:lineRule="auto"/>
        <w:ind w:left="235" w:right="86" w:firstLine="480" w:firstLineChars="200"/>
        <w:jc w:val="both"/>
        <w:textAlignment w:val="baseline"/>
        <w:rPr>
          <w:rFonts w:hint="eastAsia" w:eastAsia="宋体"/>
          <w:b/>
          <w:bCs/>
          <w:sz w:val="22"/>
          <w:szCs w:val="22"/>
          <w:lang w:val="en-US" w:eastAsia="zh-CN"/>
        </w:rPr>
      </w:pPr>
      <w:r>
        <w:rPr>
          <w:rFonts w:hint="eastAsia" w:ascii="黑体" w:hAnsi="黑体"/>
          <w:sz w:val="24"/>
          <w:szCs w:val="24"/>
          <w:u w:val="none" w:color="auto"/>
          <w:lang w:val="en-US" w:eastAsia="zh-CN"/>
        </w:rPr>
        <w:t>雷维夫总结道：“我们希望这项工作能激发人们的好奇心，并在这个主题上产生更多的研究。我们的论文提出了很多开放性的问题。我们能在大脑之外，例如免疫系统中，发现可变性的类似影响吗?”</w:t>
      </w:r>
    </w:p>
    <w:sectPr>
      <w:headerReference r:id="rId5" w:type="default"/>
      <w:footerReference r:id="rId6" w:type="default"/>
      <w:pgSz w:w="11906" w:h="16838"/>
      <w:pgMar w:top="283" w:right="709" w:bottom="0" w:left="709"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33FC8">
    <w:pPr>
      <w:pStyle w:val="2"/>
      <w:spacing w:line="210" w:lineRule="auto"/>
      <w:jc w:val="right"/>
      <w:rPr>
        <w:sz w:val="18"/>
        <w:szCs w:val="18"/>
      </w:rPr>
    </w:pPr>
    <w:r>
      <w:rPr>
        <w:b/>
        <w:bCs/>
        <w:color w:val="595959"/>
        <w:spacing w:val="-7"/>
        <w:w w:val="89"/>
        <w:sz w:val="18"/>
        <w:szCs w:val="18"/>
      </w:rPr>
      <w:t>4</w:t>
    </w:r>
    <w:r>
      <w:fldChar w:fldCharType="begin"/>
    </w:r>
    <w:r>
      <w:instrText xml:space="preserve"> HYPERLINK "https://zhenti.burningvocabulary.cn" </w:instrText>
    </w:r>
    <w:r>
      <w:fldChar w:fldCharType="separate"/>
    </w:r>
    <w:r>
      <w:rPr>
        <w:b/>
        <w:bCs/>
        <w:color w:val="595959"/>
        <w:spacing w:val="-7"/>
        <w:w w:val="89"/>
        <w:sz w:val="18"/>
        <w:szCs w:val="18"/>
      </w:rPr>
      <w:t>htt</w:t>
    </w:r>
    <w:r>
      <w:rPr>
        <w:b/>
        <w:bCs/>
        <w:color w:val="595959"/>
        <w:spacing w:val="-6"/>
        <w:w w:val="89"/>
        <w:sz w:val="18"/>
        <w:szCs w:val="18"/>
      </w:rPr>
      <w:t>ps://zhenti.burningvoc</w:t>
    </w:r>
    <w:r>
      <w:rPr>
        <w:b/>
        <w:bCs/>
        <w:color w:val="595959"/>
        <w:spacing w:val="-7"/>
        <w:w w:val="89"/>
        <w:sz w:val="18"/>
        <w:szCs w:val="18"/>
      </w:rPr>
      <w:t>abulary.c</w:t>
    </w:r>
    <w:r>
      <w:rPr>
        <w:b/>
        <w:bCs/>
        <w:color w:val="595959"/>
        <w:spacing w:val="-3"/>
        <w:w w:val="89"/>
        <w:sz w:val="18"/>
        <w:szCs w:val="18"/>
      </w:rPr>
      <w:t>n</w:t>
    </w:r>
    <w:r>
      <w:rPr>
        <w:b/>
        <w:bCs/>
        <w:color w:val="595959"/>
        <w:spacing w:val="-3"/>
        <w:w w:val="89"/>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4103B">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2C4B32"/>
    <w:rsid w:val="092C4B32"/>
    <w:rsid w:val="497844B5"/>
    <w:rsid w:val="4B0A00BF"/>
    <w:rsid w:val="56A939B8"/>
    <w:rsid w:val="600C6D03"/>
    <w:rsid w:val="65913E3D"/>
    <w:rsid w:val="778551F1"/>
    <w:rsid w:val="7A6300F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18"/>
      <w:szCs w:val="18"/>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1317</Words>
  <Characters>3309</Characters>
  <TotalTime>21</TotalTime>
  <ScaleCrop>false</ScaleCrop>
  <LinksUpToDate>false</LinksUpToDate>
  <CharactersWithSpaces>3745</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2025-09-19T14:29:00Z</dcterms:created>
  <dc:creator>Administrator</dc:creator>
  <cp:lastModifiedBy>献世</cp:lastModifiedBy>
  <cp:lastPrinted>2025-09-28T08:49:10Z</cp:lastPrinted>
  <dcterms:modified xsi:type="dcterms:W3CDTF">2025-09-28T09:06:32Z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eyJoZGlkIjoiYWMyMzY2MTBlMjFkNGNhZDI5ZWYxOTRhZTYyYTk5N2EiLCJ1c2VySWQiOiI2NTAwNzMzNzcifQ==</vt:lpwstr>
  </property>
  <property fmtid="{D5CDD505-2E9C-101B-9397-08002B2CF9AE}" pid="3" name="KSOProductBuildVer">
    <vt:lpwstr>2052-12.1.0.22529</vt:lpwstr>
  </property>
  <property fmtid="{D5CDD505-2E9C-101B-9397-08002B2CF9AE}" pid="4" name="ICV">
    <vt:lpwstr>EA5519CE0DFE4E0B93A637DF65565136_13</vt:lpwstr>
  </property>
</Properties>
</file>